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559B6" w14:textId="424E8550" w:rsidR="00F60A0D" w:rsidRPr="00C0327C" w:rsidRDefault="00802E3F" w:rsidP="005D6209">
      <w:pPr>
        <w:jc w:val="center"/>
        <w:rPr>
          <w:rFonts w:ascii="Times New Roman" w:hAnsi="Times New Roman" w:cs="Times New Roman"/>
          <w:b/>
          <w:color w:val="000000" w:themeColor="text1"/>
          <w:spacing w:val="-2"/>
          <w:sz w:val="26"/>
          <w:szCs w:val="26"/>
        </w:rPr>
      </w:pPr>
      <w:bookmarkStart w:id="0" w:name="_GoBack"/>
      <w:bookmarkEnd w:id="0"/>
      <w:r w:rsidRPr="00C0327C">
        <w:rPr>
          <w:rFonts w:ascii="Times New Roman" w:hAnsi="Times New Roman" w:cs="Times New Roman"/>
          <w:b/>
          <w:color w:val="000000" w:themeColor="text1"/>
          <w:spacing w:val="-2"/>
          <w:sz w:val="26"/>
          <w:szCs w:val="26"/>
        </w:rPr>
        <w:t>GIẢI TRÌNH CÁC NỘI DUNG</w:t>
      </w:r>
      <w:r w:rsidR="00C0327C" w:rsidRPr="00C0327C">
        <w:rPr>
          <w:rFonts w:ascii="Times New Roman" w:hAnsi="Times New Roman" w:cs="Times New Roman"/>
          <w:b/>
          <w:color w:val="000000" w:themeColor="text1"/>
          <w:spacing w:val="-2"/>
          <w:sz w:val="26"/>
          <w:szCs w:val="26"/>
        </w:rPr>
        <w:t xml:space="preserve"> BÁO CÁO THẨM TRA SỐ 77/BC-BĐT NGÀY 08/5/2026 CỦA BAN ĐÔ THỊ - HĐND THÀNH PHỐ</w:t>
      </w:r>
    </w:p>
    <w:p w14:paraId="5DCF9194" w14:textId="77777777" w:rsidR="005D6209" w:rsidRPr="0051201F" w:rsidRDefault="005D6209" w:rsidP="005D6209">
      <w:pPr>
        <w:jc w:val="center"/>
        <w:rPr>
          <w:rFonts w:ascii="Times New Roman" w:hAnsi="Times New Roman" w:cs="Times New Roman"/>
          <w:b/>
          <w:color w:val="000000" w:themeColor="text1"/>
          <w:sz w:val="28"/>
          <w:szCs w:val="28"/>
        </w:rPr>
      </w:pPr>
      <w:r w:rsidRPr="0051201F">
        <w:rPr>
          <w:rFonts w:ascii="Times New Roman" w:hAnsi="Times New Roman" w:cs="Times New Roman"/>
          <w:b/>
          <w:color w:val="000000" w:themeColor="text1"/>
          <w:sz w:val="28"/>
          <w:szCs w:val="28"/>
        </w:rPr>
        <w:t>Nghị quyết Quy định một số chính sách hỗ trợ đầu tư phát triển hạ tầng giao thông đường bộ sử dụng năng lượng sạch, giao thông phi cơ giới; hỗ trợ chuyển đổi phương tiện giao thông đường bộ từ sử dụng nhiên liệu hoá thạch sang sử dụng năng lượng sạch; một số biện pháp hạn chế sử dụng phương tiện giao thông đường bộ phát thải gây ô nhiễm môi trường trên địa bàn thành phố Hà Nội</w:t>
      </w:r>
    </w:p>
    <w:tbl>
      <w:tblPr>
        <w:tblStyle w:val="TableGrid"/>
        <w:tblW w:w="0" w:type="auto"/>
        <w:tblLook w:val="04A0" w:firstRow="1" w:lastRow="0" w:firstColumn="1" w:lastColumn="0" w:noHBand="0" w:noVBand="1"/>
      </w:tblPr>
      <w:tblGrid>
        <w:gridCol w:w="704"/>
        <w:gridCol w:w="7371"/>
        <w:gridCol w:w="6712"/>
      </w:tblGrid>
      <w:tr w:rsidR="00802E3F" w:rsidRPr="0051201F" w14:paraId="272F0CE1" w14:textId="77777777" w:rsidTr="00304112">
        <w:tc>
          <w:tcPr>
            <w:tcW w:w="704" w:type="dxa"/>
          </w:tcPr>
          <w:p w14:paraId="7F10BB58" w14:textId="77777777" w:rsidR="00802E3F" w:rsidRPr="0051201F" w:rsidRDefault="00802E3F" w:rsidP="00802E3F">
            <w:pPr>
              <w:jc w:val="center"/>
              <w:rPr>
                <w:rFonts w:ascii="Times New Roman" w:hAnsi="Times New Roman" w:cs="Times New Roman"/>
                <w:b/>
                <w:color w:val="000000" w:themeColor="text1"/>
                <w:sz w:val="28"/>
                <w:szCs w:val="28"/>
              </w:rPr>
            </w:pPr>
            <w:r w:rsidRPr="0051201F">
              <w:rPr>
                <w:rFonts w:ascii="Times New Roman" w:hAnsi="Times New Roman" w:cs="Times New Roman"/>
                <w:b/>
                <w:color w:val="000000" w:themeColor="text1"/>
                <w:sz w:val="28"/>
                <w:szCs w:val="28"/>
              </w:rPr>
              <w:t>Stt</w:t>
            </w:r>
          </w:p>
        </w:tc>
        <w:tc>
          <w:tcPr>
            <w:tcW w:w="7371" w:type="dxa"/>
          </w:tcPr>
          <w:p w14:paraId="3FF02457" w14:textId="77777777" w:rsidR="00802E3F" w:rsidRPr="0051201F" w:rsidRDefault="00802E3F" w:rsidP="00802E3F">
            <w:pPr>
              <w:jc w:val="center"/>
              <w:rPr>
                <w:rFonts w:ascii="Times New Roman" w:hAnsi="Times New Roman" w:cs="Times New Roman"/>
                <w:b/>
                <w:color w:val="000000" w:themeColor="text1"/>
                <w:sz w:val="28"/>
                <w:szCs w:val="28"/>
              </w:rPr>
            </w:pPr>
            <w:r w:rsidRPr="0051201F">
              <w:rPr>
                <w:rFonts w:ascii="Times New Roman" w:hAnsi="Times New Roman" w:cs="Times New Roman"/>
                <w:b/>
                <w:color w:val="000000" w:themeColor="text1"/>
                <w:sz w:val="28"/>
                <w:szCs w:val="28"/>
              </w:rPr>
              <w:t>Nội dung cơ chế, chính sách</w:t>
            </w:r>
          </w:p>
        </w:tc>
        <w:tc>
          <w:tcPr>
            <w:tcW w:w="6712" w:type="dxa"/>
          </w:tcPr>
          <w:p w14:paraId="7AAF03BB" w14:textId="77777777" w:rsidR="00802E3F" w:rsidRPr="0051201F" w:rsidRDefault="00802E3F" w:rsidP="00802E3F">
            <w:pPr>
              <w:jc w:val="center"/>
              <w:rPr>
                <w:rFonts w:ascii="Times New Roman" w:hAnsi="Times New Roman" w:cs="Times New Roman"/>
                <w:b/>
                <w:color w:val="000000" w:themeColor="text1"/>
                <w:sz w:val="28"/>
                <w:szCs w:val="28"/>
              </w:rPr>
            </w:pPr>
            <w:r w:rsidRPr="0051201F">
              <w:rPr>
                <w:rFonts w:ascii="Times New Roman" w:hAnsi="Times New Roman" w:cs="Times New Roman"/>
                <w:b/>
                <w:color w:val="000000" w:themeColor="text1"/>
                <w:sz w:val="28"/>
                <w:szCs w:val="28"/>
              </w:rPr>
              <w:t>Giải trình</w:t>
            </w:r>
          </w:p>
        </w:tc>
      </w:tr>
      <w:tr w:rsidR="00802E3F" w:rsidRPr="0051201F" w14:paraId="0A7DF50A" w14:textId="77777777" w:rsidTr="00304112">
        <w:tc>
          <w:tcPr>
            <w:tcW w:w="704" w:type="dxa"/>
          </w:tcPr>
          <w:p w14:paraId="530DD599" w14:textId="77777777" w:rsidR="00802E3F" w:rsidRPr="0051201F" w:rsidRDefault="005D6209">
            <w:pPr>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1</w:t>
            </w:r>
          </w:p>
        </w:tc>
        <w:tc>
          <w:tcPr>
            <w:tcW w:w="7371" w:type="dxa"/>
          </w:tcPr>
          <w:p w14:paraId="38CBE0AB" w14:textId="77777777" w:rsidR="003372C3" w:rsidRPr="0051201F" w:rsidRDefault="003372C3" w:rsidP="00F55325">
            <w:pPr>
              <w:tabs>
                <w:tab w:val="left" w:pos="915"/>
              </w:tabs>
              <w:rPr>
                <w:rFonts w:ascii="Times New Roman" w:hAnsi="Times New Roman" w:cs="Times New Roman"/>
                <w:color w:val="000000" w:themeColor="text1"/>
                <w:sz w:val="28"/>
                <w:szCs w:val="28"/>
              </w:rPr>
            </w:pPr>
          </w:p>
          <w:p w14:paraId="683BBF11" w14:textId="77777777" w:rsidR="003372C3" w:rsidRPr="0051201F" w:rsidRDefault="003372C3" w:rsidP="00F55325">
            <w:pPr>
              <w:tabs>
                <w:tab w:val="left" w:pos="915"/>
              </w:tabs>
              <w:rPr>
                <w:rFonts w:ascii="Times New Roman" w:hAnsi="Times New Roman" w:cs="Times New Roman"/>
                <w:color w:val="000000" w:themeColor="text1"/>
                <w:sz w:val="28"/>
                <w:szCs w:val="28"/>
              </w:rPr>
            </w:pPr>
          </w:p>
          <w:p w14:paraId="2F3C3E7E" w14:textId="77777777" w:rsidR="003372C3" w:rsidRPr="0051201F" w:rsidRDefault="003372C3" w:rsidP="00F55325">
            <w:pPr>
              <w:tabs>
                <w:tab w:val="left" w:pos="915"/>
              </w:tabs>
              <w:rPr>
                <w:rFonts w:ascii="Times New Roman" w:hAnsi="Times New Roman" w:cs="Times New Roman"/>
                <w:color w:val="000000" w:themeColor="text1"/>
                <w:sz w:val="28"/>
                <w:szCs w:val="28"/>
              </w:rPr>
            </w:pPr>
          </w:p>
          <w:p w14:paraId="7B410F92" w14:textId="77777777" w:rsidR="003372C3" w:rsidRPr="0051201F" w:rsidRDefault="003372C3" w:rsidP="00F55325">
            <w:pPr>
              <w:tabs>
                <w:tab w:val="left" w:pos="915"/>
              </w:tabs>
              <w:rPr>
                <w:rFonts w:ascii="Times New Roman" w:hAnsi="Times New Roman" w:cs="Times New Roman"/>
                <w:color w:val="000000" w:themeColor="text1"/>
                <w:sz w:val="28"/>
                <w:szCs w:val="28"/>
              </w:rPr>
            </w:pPr>
          </w:p>
          <w:p w14:paraId="20478331" w14:textId="77777777" w:rsidR="003372C3" w:rsidRPr="0051201F" w:rsidRDefault="003372C3" w:rsidP="00F55325">
            <w:pPr>
              <w:tabs>
                <w:tab w:val="left" w:pos="915"/>
              </w:tabs>
              <w:rPr>
                <w:rFonts w:ascii="Times New Roman" w:hAnsi="Times New Roman" w:cs="Times New Roman"/>
                <w:color w:val="000000" w:themeColor="text1"/>
                <w:sz w:val="28"/>
                <w:szCs w:val="28"/>
              </w:rPr>
            </w:pPr>
          </w:p>
          <w:p w14:paraId="4CDE23F4" w14:textId="77777777" w:rsidR="003372C3" w:rsidRPr="0051201F" w:rsidRDefault="003372C3" w:rsidP="00F55325">
            <w:pPr>
              <w:tabs>
                <w:tab w:val="left" w:pos="915"/>
              </w:tabs>
              <w:rPr>
                <w:rFonts w:ascii="Times New Roman" w:hAnsi="Times New Roman" w:cs="Times New Roman"/>
                <w:color w:val="000000" w:themeColor="text1"/>
                <w:sz w:val="28"/>
                <w:szCs w:val="28"/>
              </w:rPr>
            </w:pPr>
          </w:p>
          <w:p w14:paraId="4B87A0E7" w14:textId="77777777" w:rsidR="003372C3" w:rsidRPr="0051201F" w:rsidRDefault="003372C3" w:rsidP="00F55325">
            <w:pPr>
              <w:tabs>
                <w:tab w:val="left" w:pos="915"/>
              </w:tabs>
              <w:rPr>
                <w:rFonts w:ascii="Times New Roman" w:hAnsi="Times New Roman" w:cs="Times New Roman"/>
                <w:color w:val="000000" w:themeColor="text1"/>
                <w:sz w:val="28"/>
                <w:szCs w:val="28"/>
              </w:rPr>
            </w:pPr>
          </w:p>
          <w:p w14:paraId="2191FD11" w14:textId="011631F8" w:rsidR="00802E3F" w:rsidRPr="0051201F" w:rsidRDefault="00F55325" w:rsidP="00F55325">
            <w:pPr>
              <w:tabs>
                <w:tab w:val="left" w:pos="915"/>
              </w:tabs>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Phương pháp xác định mức hỗ trợ, dự thảo dang kết hợp nhiều cách tiếp cận gồm hỗ trợ theo tỷ lệ phần trăm giá trị phương tiện (20%, 80%, 100%), hỗ trợ theo mức trần tuyệt đối ( tối đa 5-20 triệu), hỗ trợ theo chi phí tài chính (30% lãi vay), và hỗ trợ theo định mức dịch vụ ( vé giao thông công cộng lệ phí, miễn phí sử dụng hạ tầng). Cách tiếp cận này tương đối linh hoạt, phù hợp với đặc thù từng nhóm đối tượng, tuy nhiên chưa có khung phương pháp thống nhất để lượng hóa tổng mức hỗ trợ theo từng chính sách, dẫn đến khó khăn trong tổng hợp và dự báo ngân sách. Đề nghị UBND Thành phố xác định cơ sở tính toán để đề xuất các mức hỗ trợ cho từng đối tượng</w:t>
            </w:r>
          </w:p>
        </w:tc>
        <w:tc>
          <w:tcPr>
            <w:tcW w:w="6712" w:type="dxa"/>
          </w:tcPr>
          <w:p w14:paraId="4A3F639A" w14:textId="0B3A1AE3" w:rsidR="00C97BF4" w:rsidRPr="0051201F" w:rsidRDefault="0098664F" w:rsidP="00C97BF4">
            <w:pPr>
              <w:jc w:val="both"/>
              <w:rPr>
                <w:rFonts w:ascii="Times New Roman" w:hAnsi="Times New Roman" w:cs="Times New Roman"/>
                <w:b/>
                <w:bCs/>
                <w:color w:val="000000" w:themeColor="text1"/>
                <w:sz w:val="28"/>
                <w:szCs w:val="28"/>
              </w:rPr>
            </w:pPr>
            <w:r w:rsidRPr="0051201F">
              <w:rPr>
                <w:rFonts w:ascii="Times New Roman" w:hAnsi="Times New Roman" w:cs="Times New Roman"/>
                <w:b/>
                <w:bCs/>
                <w:color w:val="000000" w:themeColor="text1"/>
                <w:sz w:val="28"/>
                <w:szCs w:val="28"/>
              </w:rPr>
              <w:t>Mức hỗ trợ tính trên cơ sở:</w:t>
            </w:r>
          </w:p>
          <w:p w14:paraId="0917D237" w14:textId="44C2F045" w:rsidR="00C97BF4" w:rsidRPr="0051201F" w:rsidRDefault="00C97BF4" w:rsidP="00C97BF4">
            <w:pPr>
              <w:jc w:val="both"/>
              <w:rPr>
                <w:rFonts w:ascii="Times New Roman" w:hAnsi="Times New Roman" w:cs="Times New Roman"/>
                <w:b/>
                <w:bCs/>
                <w:color w:val="000000" w:themeColor="text1"/>
                <w:sz w:val="28"/>
                <w:szCs w:val="28"/>
              </w:rPr>
            </w:pPr>
            <w:r w:rsidRPr="0051201F">
              <w:rPr>
                <w:rFonts w:ascii="Times New Roman" w:hAnsi="Times New Roman" w:cs="Times New Roman"/>
                <w:b/>
                <w:bCs/>
                <w:color w:val="000000" w:themeColor="text1"/>
                <w:sz w:val="28"/>
                <w:szCs w:val="28"/>
              </w:rPr>
              <w:t>1 Mức xác định tỷ lệ hỗ trợ 20%, 80%, 100%</w:t>
            </w:r>
          </w:p>
          <w:p w14:paraId="5FA3AD61" w14:textId="06DF7BA8" w:rsidR="0098664F" w:rsidRPr="0051201F" w:rsidRDefault="0098664F" w:rsidP="00C97BF4">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Giá trị xe trung bình hiện nay chia làm 3 phân khúc: phổ thông từ 12 đến dưới 20 triệu; tầm trung 20-35 triệu; cao cấp trên 3</w:t>
            </w:r>
            <w:r w:rsidR="00C4445E" w:rsidRPr="0051201F">
              <w:rPr>
                <w:rFonts w:ascii="Times New Roman" w:hAnsi="Times New Roman" w:cs="Times New Roman"/>
                <w:color w:val="000000" w:themeColor="text1"/>
                <w:sz w:val="28"/>
                <w:szCs w:val="28"/>
              </w:rPr>
              <w:t>5</w:t>
            </w:r>
            <w:r w:rsidRPr="0051201F">
              <w:rPr>
                <w:rFonts w:ascii="Times New Roman" w:hAnsi="Times New Roman" w:cs="Times New Roman"/>
                <w:color w:val="000000" w:themeColor="text1"/>
                <w:sz w:val="28"/>
                <w:szCs w:val="28"/>
              </w:rPr>
              <w:t xml:space="preserve"> triệu.</w:t>
            </w:r>
          </w:p>
          <w:p w14:paraId="4162F480" w14:textId="22F96F7D" w:rsidR="00C4445E" w:rsidRPr="0051201F" w:rsidRDefault="00C4445E" w:rsidP="00C97BF4">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 Mức hỗ trợ của các quốc gia như Đài Loan( 8-26 triệu); Indonesia (12 triêu) Trung Quốc 1-3 triệu, </w:t>
            </w:r>
            <w:r w:rsidRPr="0051201F">
              <w:rPr>
                <w:rFonts w:ascii="Times New Roman" w:hAnsi="Times New Roman" w:cs="Times New Roman"/>
                <w:b/>
                <w:bCs/>
                <w:color w:val="000000" w:themeColor="text1"/>
                <w:sz w:val="28"/>
                <w:szCs w:val="28"/>
              </w:rPr>
              <w:t xml:space="preserve">Thành phố Hồ Chí Minh( 5-20 triệu trong đó hỗ trợ cho cá nhân hộ thông thường 10% nhưng không quá 5 triệu; Hộ cận nghèo 80% 16 triệu và hộ nghèo 100% không quá 20 triệu). </w:t>
            </w:r>
          </w:p>
          <w:p w14:paraId="4E6E11DA" w14:textId="6FAFA658" w:rsidR="002270CD" w:rsidRPr="0051201F" w:rsidRDefault="0098664F" w:rsidP="00C97BF4">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Thị phần xe điện hiện nay Vinfast chiến khoảng 50-60%; Yadea khoảng 20-25</w:t>
            </w:r>
            <w:r w:rsidR="000658FF" w:rsidRPr="0051201F">
              <w:rPr>
                <w:rFonts w:ascii="Times New Roman" w:hAnsi="Times New Roman" w:cs="Times New Roman"/>
                <w:color w:val="000000" w:themeColor="text1"/>
                <w:sz w:val="28"/>
                <w:szCs w:val="28"/>
              </w:rPr>
              <w:t xml:space="preserve">%; Honda, Yamaha; Datbike khoảng 15-20%. Trong đó xe máy điện Vinfast tại thời điểm tháng 4/2026 đã thực hiện giảm giá trực tiếp trên giá bán lẻ lên đến 13% ; hỗ trợ </w:t>
            </w:r>
            <w:r w:rsidR="00C4445E" w:rsidRPr="0051201F">
              <w:rPr>
                <w:rFonts w:ascii="Times New Roman" w:hAnsi="Times New Roman" w:cs="Times New Roman"/>
                <w:color w:val="000000" w:themeColor="text1"/>
                <w:sz w:val="28"/>
                <w:szCs w:val="28"/>
              </w:rPr>
              <w:t>sạc đến 31/5/2027.</w:t>
            </w:r>
            <w:r w:rsidR="00793506" w:rsidRPr="0051201F">
              <w:rPr>
                <w:rFonts w:ascii="Times New Roman" w:hAnsi="Times New Roman" w:cs="Times New Roman"/>
                <w:color w:val="000000" w:themeColor="text1"/>
                <w:sz w:val="28"/>
                <w:szCs w:val="28"/>
              </w:rPr>
              <w:t xml:space="preserve"> Trả góp 0% đến 31/12/2026</w:t>
            </w:r>
            <w:r w:rsidR="00DF3254" w:rsidRPr="0051201F">
              <w:rPr>
                <w:rFonts w:ascii="Times New Roman" w:hAnsi="Times New Roman" w:cs="Times New Roman"/>
                <w:color w:val="000000" w:themeColor="text1"/>
                <w:sz w:val="28"/>
                <w:szCs w:val="28"/>
              </w:rPr>
              <w:t xml:space="preserve"> và miễn phí 100% lệ phí trước bạ </w:t>
            </w:r>
          </w:p>
          <w:p w14:paraId="68FD4D88" w14:textId="0E096F7D" w:rsidR="0098664F" w:rsidRPr="0051201F" w:rsidRDefault="002270CD" w:rsidP="00C97BF4">
            <w:pPr>
              <w:jc w:val="both"/>
              <w:rPr>
                <w:rFonts w:ascii="Times New Roman" w:hAnsi="Times New Roman" w:cs="Times New Roman"/>
                <w:b/>
                <w:bCs/>
                <w:color w:val="000000" w:themeColor="text1"/>
                <w:sz w:val="28"/>
                <w:szCs w:val="28"/>
              </w:rPr>
            </w:pPr>
            <w:r w:rsidRPr="0051201F">
              <w:rPr>
                <w:rFonts w:ascii="Times New Roman" w:hAnsi="Times New Roman" w:cs="Times New Roman"/>
                <w:color w:val="000000" w:themeColor="text1"/>
                <w:sz w:val="28"/>
                <w:szCs w:val="28"/>
              </w:rPr>
              <w:t>V</w:t>
            </w:r>
            <w:r w:rsidR="00C4445E" w:rsidRPr="0051201F">
              <w:rPr>
                <w:rFonts w:ascii="Times New Roman" w:hAnsi="Times New Roman" w:cs="Times New Roman"/>
                <w:color w:val="000000" w:themeColor="text1"/>
                <w:sz w:val="28"/>
                <w:szCs w:val="28"/>
              </w:rPr>
              <w:t xml:space="preserve">ới giá trị xe mức hỗ trợ 20% không quá 5 triệu </w:t>
            </w:r>
            <w:r w:rsidR="00793506" w:rsidRPr="0051201F">
              <w:rPr>
                <w:rFonts w:ascii="Times New Roman" w:hAnsi="Times New Roman" w:cs="Times New Roman"/>
                <w:color w:val="000000" w:themeColor="text1"/>
                <w:sz w:val="28"/>
                <w:szCs w:val="28"/>
              </w:rPr>
              <w:t>người dân sẽ mua được xe ở phân khúc phổ thông -trung bình mà chi phí bỏ ra không quá nhiều (</w:t>
            </w:r>
            <w:r w:rsidRPr="0051201F">
              <w:rPr>
                <w:rFonts w:ascii="Times New Roman" w:hAnsi="Times New Roman" w:cs="Times New Roman"/>
                <w:color w:val="000000" w:themeColor="text1"/>
                <w:sz w:val="28"/>
                <w:szCs w:val="28"/>
              </w:rPr>
              <w:t>VD:</w:t>
            </w:r>
            <w:r w:rsidR="00793506" w:rsidRPr="0051201F">
              <w:rPr>
                <w:rFonts w:ascii="Times New Roman" w:hAnsi="Times New Roman" w:cs="Times New Roman"/>
                <w:color w:val="000000" w:themeColor="text1"/>
                <w:sz w:val="28"/>
                <w:szCs w:val="28"/>
              </w:rPr>
              <w:t xml:space="preserve"> Xe 12 triệu người dân sẽ phải trả 9,6 triệu đồng; xe 25 triệu người dân sẽ trả 20 triệu đồng)</w:t>
            </w:r>
            <w:r w:rsidR="003372C3" w:rsidRPr="0051201F">
              <w:rPr>
                <w:rFonts w:ascii="Times New Roman" w:hAnsi="Times New Roman" w:cs="Times New Roman"/>
                <w:color w:val="000000" w:themeColor="text1"/>
                <w:sz w:val="28"/>
                <w:szCs w:val="28"/>
              </w:rPr>
              <w:t>.</w:t>
            </w:r>
            <w:r w:rsidR="003372C3" w:rsidRPr="0051201F">
              <w:rPr>
                <w:rFonts w:ascii="Times New Roman" w:hAnsi="Times New Roman" w:cs="Times New Roman"/>
                <w:b/>
                <w:bCs/>
                <w:color w:val="000000" w:themeColor="text1"/>
                <w:sz w:val="28"/>
                <w:szCs w:val="28"/>
              </w:rPr>
              <w:t xml:space="preserve"> </w:t>
            </w:r>
          </w:p>
          <w:p w14:paraId="155D9003" w14:textId="2D619E31" w:rsidR="003E5C5B" w:rsidRPr="0051201F" w:rsidRDefault="002270CD" w:rsidP="003E5C5B">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lastRenderedPageBreak/>
              <w:t>Như vậy với định hướng khuyến khích người dân không sử dụng phương tiện cá nhân và tham gia sử dụng VTHKCC thì việc chính sách đưa ra mang tính chất hỗ trợ nhưng không khuyến khích nên giá trị hỗ trợ không quá 5 triệu là phù hợp và mức hỗ trợ của Hà Nội dự tính</w:t>
            </w:r>
            <w:r w:rsidR="00C97BF4" w:rsidRPr="0051201F">
              <w:rPr>
                <w:rFonts w:ascii="Times New Roman" w:hAnsi="Times New Roman" w:cs="Times New Roman"/>
                <w:color w:val="000000" w:themeColor="text1"/>
                <w:sz w:val="28"/>
                <w:szCs w:val="28"/>
              </w:rPr>
              <w:t xml:space="preserve"> ( bao gồm hỗ trợ cho các đối tượng là hộ nghèo và cận nghèo)</w:t>
            </w:r>
            <w:r w:rsidRPr="0051201F">
              <w:rPr>
                <w:rFonts w:ascii="Times New Roman" w:hAnsi="Times New Roman" w:cs="Times New Roman"/>
                <w:color w:val="000000" w:themeColor="text1"/>
                <w:sz w:val="28"/>
                <w:szCs w:val="28"/>
              </w:rPr>
              <w:t xml:space="preserve"> tương đương với mức của thành phố Hồ Chí Minh. Ngoài mức hỗ trợ của Thành phố người dân còn được hưởng các chính sách hỗ trợ trực tiếp từ doanh nghiệp bán xe</w:t>
            </w:r>
            <w:r w:rsidR="00C97BF4" w:rsidRPr="0051201F">
              <w:rPr>
                <w:rFonts w:ascii="Times New Roman" w:hAnsi="Times New Roman" w:cs="Times New Roman"/>
                <w:color w:val="000000" w:themeColor="text1"/>
                <w:sz w:val="28"/>
                <w:szCs w:val="28"/>
              </w:rPr>
              <w:t xml:space="preserve"> như hỗ trợ sạc đến 31/5/2027. Trả góp 0% đến 31/12/2026 và miễn phí 100% lệ phí trước bạ</w:t>
            </w:r>
            <w:r w:rsidR="003E5C5B" w:rsidRPr="0051201F">
              <w:rPr>
                <w:rFonts w:ascii="Times New Roman" w:hAnsi="Times New Roman" w:cs="Times New Roman"/>
                <w:color w:val="000000" w:themeColor="text1"/>
                <w:sz w:val="28"/>
                <w:szCs w:val="28"/>
              </w:rPr>
              <w:t xml:space="preserve"> (khi mua xe điện VinFast)</w:t>
            </w:r>
            <w:r w:rsidR="00C97BF4" w:rsidRPr="0051201F">
              <w:rPr>
                <w:rFonts w:ascii="Times New Roman" w:hAnsi="Times New Roman" w:cs="Times New Roman"/>
                <w:color w:val="000000" w:themeColor="text1"/>
                <w:sz w:val="28"/>
                <w:szCs w:val="28"/>
              </w:rPr>
              <w:t>.</w:t>
            </w:r>
            <w:r w:rsidR="003E5C5B" w:rsidRPr="0051201F">
              <w:rPr>
                <w:color w:val="000000" w:themeColor="text1"/>
              </w:rPr>
              <w:t xml:space="preserve"> </w:t>
            </w:r>
            <w:r w:rsidR="003E5C5B" w:rsidRPr="0051201F">
              <w:rPr>
                <w:rFonts w:ascii="Times New Roman" w:hAnsi="Times New Roman" w:cs="Times New Roman"/>
                <w:color w:val="000000" w:themeColor="text1"/>
                <w:sz w:val="28"/>
                <w:szCs w:val="28"/>
              </w:rPr>
              <w:t>Chính sách hỗ trợ 50% lệ phí cấp giấy chứng nhận đăng ký, biển số đối với xe mô tô, xe gắn máy giúp hỗ trợ người dân một phần chi phí, tạo động lực để người dân sớm chuyển đổi phương tiện. Mức hỗ trợ này tương đồng với mức hỗ trợ của TP HCM.</w:t>
            </w:r>
          </w:p>
          <w:p w14:paraId="60E986E1" w14:textId="0C5A77B4" w:rsidR="00C97BF4" w:rsidRPr="0051201F" w:rsidRDefault="003E5C5B" w:rsidP="003E5C5B">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Do mức hỗ trợ của Ngân sách Thành phố có hạn nên không đề xuất chính sách hỗ trợ 100% phí trước bạ như TP HCM vì Ngân sách Thành phố có hạn.</w:t>
            </w:r>
          </w:p>
          <w:p w14:paraId="6D3276AA" w14:textId="3C58A3B6" w:rsidR="00FB5910" w:rsidRPr="0051201F" w:rsidRDefault="002D4773" w:rsidP="00C97BF4">
            <w:pPr>
              <w:jc w:val="both"/>
              <w:rPr>
                <w:rFonts w:ascii="Times New Roman" w:hAnsi="Times New Roman" w:cs="Times New Roman"/>
                <w:b/>
                <w:bCs/>
                <w:color w:val="000000" w:themeColor="text1"/>
                <w:sz w:val="28"/>
                <w:szCs w:val="28"/>
              </w:rPr>
            </w:pPr>
            <w:r w:rsidRPr="0051201F">
              <w:rPr>
                <w:rFonts w:ascii="Times New Roman" w:hAnsi="Times New Roman" w:cs="Times New Roman"/>
                <w:b/>
                <w:bCs/>
                <w:color w:val="000000" w:themeColor="text1"/>
                <w:sz w:val="28"/>
                <w:szCs w:val="28"/>
              </w:rPr>
              <w:t>2</w:t>
            </w:r>
            <w:r w:rsidR="00FB5910" w:rsidRPr="0051201F">
              <w:rPr>
                <w:rFonts w:ascii="Times New Roman" w:hAnsi="Times New Roman" w:cs="Times New Roman"/>
                <w:b/>
                <w:bCs/>
                <w:color w:val="000000" w:themeColor="text1"/>
                <w:sz w:val="28"/>
                <w:szCs w:val="28"/>
              </w:rPr>
              <w:t xml:space="preserve">.Mức hỗ trợ vé dịch vụ VTHKCC </w:t>
            </w:r>
          </w:p>
          <w:p w14:paraId="2D5E4AC0" w14:textId="77777777" w:rsidR="00BD4C25" w:rsidRPr="0051201F" w:rsidRDefault="00FB5910" w:rsidP="00C97BF4">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 </w:t>
            </w:r>
            <w:r w:rsidR="00BD4C25" w:rsidRPr="0051201F">
              <w:rPr>
                <w:rFonts w:ascii="Times New Roman" w:hAnsi="Times New Roman" w:cs="Times New Roman"/>
                <w:color w:val="000000" w:themeColor="text1"/>
                <w:sz w:val="28"/>
                <w:szCs w:val="28"/>
              </w:rPr>
              <w:t>Hiện nay Hà Nội cũng giống như Thành phó Hồ Chí Minh thực hiện hỗ trợ 100% vé cho các đối tượng người cao tuổi, trẻ em dưới 6 tuổi, người khuyết tật… đối với học sinh, sinh viên, công nhân khu công nghiệp là được hỗ trợ 50% giá vé. Việc điều chỉnh mức hỗ trợ cho Học sinh, sinh viên lên100% nhằm khuyến khích đối tượng này thường xuyên sử dụng VTHKCC hạn chế sử phương tiện cá nhân.</w:t>
            </w:r>
          </w:p>
          <w:p w14:paraId="3B0847DB" w14:textId="56DF44F7" w:rsidR="00FB5910" w:rsidRPr="0051201F" w:rsidRDefault="00BD4C25" w:rsidP="00C97BF4">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-Chính sách miễn tiền vé sử dụng VTHKCC sử dụng những ngày lễ, tết và các dịp đặc biệt của thành phố gần </w:t>
            </w:r>
            <w:r w:rsidRPr="0051201F">
              <w:rPr>
                <w:rFonts w:ascii="Times New Roman" w:hAnsi="Times New Roman" w:cs="Times New Roman"/>
                <w:color w:val="000000" w:themeColor="text1"/>
                <w:sz w:val="28"/>
                <w:szCs w:val="28"/>
              </w:rPr>
              <w:lastRenderedPageBreak/>
              <w:t xml:space="preserve">daay là một trong các chính sách rất được người dân </w:t>
            </w:r>
            <w:r w:rsidR="002D4773" w:rsidRPr="0051201F">
              <w:rPr>
                <w:rFonts w:ascii="Times New Roman" w:hAnsi="Times New Roman" w:cs="Times New Roman"/>
                <w:color w:val="000000" w:themeColor="text1"/>
                <w:sz w:val="28"/>
                <w:szCs w:val="28"/>
              </w:rPr>
              <w:t>đồng thuận,</w:t>
            </w:r>
            <w:r w:rsidRPr="0051201F">
              <w:rPr>
                <w:rFonts w:ascii="Times New Roman" w:hAnsi="Times New Roman" w:cs="Times New Roman"/>
                <w:color w:val="000000" w:themeColor="text1"/>
                <w:sz w:val="28"/>
                <w:szCs w:val="28"/>
              </w:rPr>
              <w:t xml:space="preserve"> hưởng ứng </w:t>
            </w:r>
            <w:r w:rsidR="002D4773" w:rsidRPr="0051201F">
              <w:rPr>
                <w:rFonts w:ascii="Times New Roman" w:hAnsi="Times New Roman" w:cs="Times New Roman"/>
                <w:color w:val="000000" w:themeColor="text1"/>
                <w:sz w:val="28"/>
                <w:szCs w:val="28"/>
              </w:rPr>
              <w:t>tuy nhiên chưa có quy định theo đó mỗi dịp đều phải trình UBND chấp thuận chủ trương. Vì vậy để khuyến khích người dân tham gia VTHKCC và chủ động trong công tác thực hiện do đó đề nghị được bổ sung nội dung này trong Nghị quyết.</w:t>
            </w:r>
          </w:p>
          <w:p w14:paraId="52C79AF5" w14:textId="7B5D00B4" w:rsidR="002D4773" w:rsidRPr="0051201F" w:rsidRDefault="002D4773" w:rsidP="002D4773">
            <w:pPr>
              <w:jc w:val="both"/>
              <w:rPr>
                <w:rFonts w:ascii="Times New Roman" w:hAnsi="Times New Roman" w:cs="Times New Roman"/>
                <w:b/>
                <w:bCs/>
                <w:color w:val="000000" w:themeColor="text1"/>
                <w:sz w:val="28"/>
                <w:szCs w:val="28"/>
              </w:rPr>
            </w:pPr>
            <w:r w:rsidRPr="0051201F">
              <w:rPr>
                <w:rFonts w:ascii="Times New Roman" w:hAnsi="Times New Roman" w:cs="Times New Roman"/>
                <w:b/>
                <w:bCs/>
                <w:color w:val="000000" w:themeColor="text1"/>
                <w:sz w:val="28"/>
                <w:szCs w:val="28"/>
              </w:rPr>
              <w:t>2. Mức hỗ trợ chi phí tài chính vay 30% và miễn phí sử dụng hạ tầng</w:t>
            </w:r>
          </w:p>
          <w:p w14:paraId="6C92CEBD" w14:textId="41B338FB" w:rsidR="002D4773" w:rsidRPr="0051201F" w:rsidRDefault="002D4773" w:rsidP="002D4773">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Hiện nay để phục vụ chuyển đổi phương tiện sử dụng năng lượng sạch </w:t>
            </w:r>
            <w:r w:rsidR="00FE3CBD" w:rsidRPr="0051201F">
              <w:rPr>
                <w:rFonts w:ascii="Times New Roman" w:hAnsi="Times New Roman" w:cs="Times New Roman"/>
                <w:color w:val="000000" w:themeColor="text1"/>
                <w:sz w:val="28"/>
                <w:szCs w:val="28"/>
              </w:rPr>
              <w:t>thì bài toán đưa ra là hạ tầng trạm sạc và các phương tiện công công phải đáp ứng nhu cầu của người dân</w:t>
            </w:r>
          </w:p>
          <w:p w14:paraId="4AA15FE1" w14:textId="77777777" w:rsidR="00FE3CBD" w:rsidRPr="0051201F" w:rsidRDefault="00FE3CBD" w:rsidP="002D4773">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Theo số lượng phương tiện đang hoạt động trên địa bàn thành phố thì số lượng tủ đổi pin dự tính khoảng 112.000 và trụ sạc 44.000 trụ ( 1 trụ sạc đáp ứng khoảng 25 xe ô tô điện và 1 tủ đổi pin đáp ứng 50 xe máy điện) trong khi đó kinh phí đầu tư khoảng  450-500 triệu/1 trụ sạc, 150 triệu/ tủ đổi pin chưa tính chi phí đầu tư hạ tầng điện đi kèm).</w:t>
            </w:r>
          </w:p>
          <w:p w14:paraId="0B60DC91" w14:textId="4A390597" w:rsidR="002D4773" w:rsidRPr="0051201F" w:rsidRDefault="00FE3CBD" w:rsidP="002D4773">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Phương tiện xe công công cho thuê là xe đạp và xe đạp điện hiện nay kinh phí đầu tư khoảng 2 triệu đồng/xe đạp và 10 triệu đồng/ xe đạp điện</w:t>
            </w:r>
            <w:r w:rsidR="00C17CB1" w:rsidRPr="0051201F">
              <w:rPr>
                <w:rFonts w:ascii="Times New Roman" w:hAnsi="Times New Roman" w:cs="Times New Roman"/>
                <w:color w:val="000000" w:themeColor="text1"/>
                <w:sz w:val="28"/>
                <w:szCs w:val="28"/>
              </w:rPr>
              <w:t xml:space="preserve">. Hiện nay người dân vẫn sử dung phương tiện cá nhân do đó việc sử dụng phương tiện công cộng còn ít theo báo cáo của Công ty Trí Nam </w:t>
            </w:r>
            <w:r w:rsidR="00AF7A4D" w:rsidRPr="0051201F">
              <w:rPr>
                <w:rFonts w:ascii="Times New Roman" w:hAnsi="Times New Roman" w:cs="Times New Roman"/>
                <w:color w:val="000000" w:themeColor="text1"/>
                <w:sz w:val="28"/>
                <w:szCs w:val="28"/>
              </w:rPr>
              <w:t>sau 2 năm hoạt động lỗ lũy kế của đơn vị là 1.341 triệu đồng.</w:t>
            </w:r>
          </w:p>
          <w:p w14:paraId="1DFA688A" w14:textId="31E13E80" w:rsidR="002D4773" w:rsidRPr="0051201F" w:rsidRDefault="00AF7A4D" w:rsidP="002D4773">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Theo đề án kiểm soát khi thải của </w:t>
            </w:r>
            <w:r w:rsidR="002D4773" w:rsidRPr="0051201F">
              <w:rPr>
                <w:rFonts w:ascii="Times New Roman" w:hAnsi="Times New Roman" w:cs="Times New Roman"/>
                <w:color w:val="000000" w:themeColor="text1"/>
                <w:sz w:val="28"/>
                <w:szCs w:val="28"/>
              </w:rPr>
              <w:t>Thành phố Hồ Chí Minh dự tính mức hỗ trợ cho doanh nghiệp 50% lãi suất ngân hàng với mức lãi suất bình quân doanh nghiệp sẽ phải  chịu sau hỗ trợ là khoảng 6,1 %.</w:t>
            </w:r>
          </w:p>
          <w:p w14:paraId="24A14F8A" w14:textId="27643DE3" w:rsidR="00AF7A4D" w:rsidRPr="0051201F" w:rsidRDefault="00AF7A4D" w:rsidP="002D4773">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lastRenderedPageBreak/>
              <w:t>Như vậy để khuyến khích các doanh nghiệp tham gia đầu tư hạ tầng trạm sạc và phương tiện công cộng như xe đạp, xe đạp điện thì việc hỗ trợ lãi vay và miễn phí sử dụng đất là rất cần thiết</w:t>
            </w:r>
          </w:p>
          <w:p w14:paraId="2A894303" w14:textId="4D3A4A82" w:rsidR="002D4773" w:rsidRPr="0051201F" w:rsidRDefault="002D4773" w:rsidP="002D4773">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Mức lãi vay của các ngân hàng hiện nay dao động khoảng  8-11%, với mức hỗ trợ dự kiến 30% cho doanh nghiệp là hợp lý tương ứng với Thành phố HCM và cao hơn mức cho vay của Quỹ phát triển hoạt động sự nghiệp là 2,02%.</w:t>
            </w:r>
          </w:p>
          <w:p w14:paraId="699F1960" w14:textId="77777777" w:rsidR="003E5C5B" w:rsidRPr="0051201F" w:rsidRDefault="00AF7A4D" w:rsidP="00C97BF4">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Hạ tầng trạm sạc do Công ty Vin Group thực hiện đang do đơn vị đầu tư 100% kinh phí ( với dự tính 1.139 vị trí trong đó 89 vị trí là trạm sạc tích hợp tủ đổi pin và 1.050 tủ đôi pin)</w:t>
            </w:r>
            <w:r w:rsidR="00377E56" w:rsidRPr="0051201F">
              <w:rPr>
                <w:rFonts w:ascii="Times New Roman" w:hAnsi="Times New Roman" w:cs="Times New Roman"/>
                <w:color w:val="000000" w:themeColor="text1"/>
                <w:sz w:val="28"/>
                <w:szCs w:val="28"/>
              </w:rPr>
              <w:t>. Hiện nay có một số đơn vị khác đang đề xuất được tham gia phát triển hạ tầng trạm sạc và tủ đổi pin.</w:t>
            </w:r>
            <w:r w:rsidRPr="0051201F">
              <w:rPr>
                <w:rFonts w:ascii="Times New Roman" w:hAnsi="Times New Roman" w:cs="Times New Roman"/>
                <w:color w:val="000000" w:themeColor="text1"/>
                <w:sz w:val="28"/>
                <w:szCs w:val="28"/>
              </w:rPr>
              <w:t xml:space="preserve"> </w:t>
            </w:r>
          </w:p>
          <w:p w14:paraId="1CBC9A73" w14:textId="179D67D2" w:rsidR="001E4AF5" w:rsidRPr="0051201F" w:rsidRDefault="00AF7A4D" w:rsidP="00C97BF4">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 </w:t>
            </w:r>
          </w:p>
        </w:tc>
      </w:tr>
      <w:tr w:rsidR="00802E3F" w:rsidRPr="0051201F" w14:paraId="6EB77453" w14:textId="77777777" w:rsidTr="00304112">
        <w:tc>
          <w:tcPr>
            <w:tcW w:w="704" w:type="dxa"/>
          </w:tcPr>
          <w:p w14:paraId="1D2E2A25" w14:textId="77777777" w:rsidR="00802E3F" w:rsidRPr="0051201F" w:rsidRDefault="005D6209">
            <w:pPr>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lastRenderedPageBreak/>
              <w:t>2</w:t>
            </w:r>
          </w:p>
        </w:tc>
        <w:tc>
          <w:tcPr>
            <w:tcW w:w="7371" w:type="dxa"/>
          </w:tcPr>
          <w:p w14:paraId="49F4398E" w14:textId="2D548895" w:rsidR="00802E3F" w:rsidRPr="0051201F" w:rsidRDefault="00C97BF4" w:rsidP="001E4AF5">
            <w:pPr>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Nguồn kinh phí thực hiện chính sách được xác định là Ngân sách Thành phố với tồng số vốn khoảng 23.000 tỷ đồng nhằm đảm bảo chi cho hỗ trợ trực tiếp ( hỗ trợ chuyển đổi phương tiện, lệ phí, vé giao thông công cộng, hỗ trợ lãi vay, miên phí). Đây là số vốn lớn, có tác động trực tiếp đến Ngân sách thành phố </w:t>
            </w:r>
            <w:r w:rsidR="00A63FB7" w:rsidRPr="0051201F">
              <w:rPr>
                <w:rFonts w:ascii="Times New Roman" w:hAnsi="Times New Roman" w:cs="Times New Roman"/>
                <w:color w:val="000000" w:themeColor="text1"/>
                <w:sz w:val="28"/>
                <w:szCs w:val="28"/>
              </w:rPr>
              <w:t>và</w:t>
            </w:r>
            <w:r w:rsidRPr="0051201F">
              <w:rPr>
                <w:rFonts w:ascii="Times New Roman" w:hAnsi="Times New Roman" w:cs="Times New Roman"/>
                <w:color w:val="000000" w:themeColor="text1"/>
                <w:sz w:val="28"/>
                <w:szCs w:val="28"/>
              </w:rPr>
              <w:t xml:space="preserve"> an sinh xã hội. Tuy nhiên UBND Thành phố chưa có đánh giá, xác định khả năng cân đối nguồn ngân sách để thực hiện nghị quyết đảm bảo khả thi trong bối cảnh thực hiện đề án vùng phát thải thấp.</w:t>
            </w:r>
          </w:p>
        </w:tc>
        <w:tc>
          <w:tcPr>
            <w:tcW w:w="6712" w:type="dxa"/>
          </w:tcPr>
          <w:p w14:paraId="2DE4EFBE" w14:textId="0CB11FA7" w:rsidR="00472EC3" w:rsidRPr="0051201F" w:rsidRDefault="00472EC3">
            <w:pPr>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 Kinh phí hỗ trợ chính sách tại Nghị quyết </w:t>
            </w:r>
            <w:r w:rsidR="00784A4A" w:rsidRPr="0051201F">
              <w:rPr>
                <w:rFonts w:ascii="Times New Roman" w:hAnsi="Times New Roman" w:cs="Times New Roman"/>
                <w:color w:val="000000" w:themeColor="text1"/>
                <w:sz w:val="28"/>
                <w:szCs w:val="28"/>
              </w:rPr>
              <w:t>chủ yếu thực hiện hỗ trợ cho cá nhân chuyển đổi phương tiện  trong đó có hỗ trợ trực tiếp bằng tiền và hỗ trợ bằng vé sử dụng dịch vụ vận tải HKCC  tổng kinh phí dự tính 16.882 tỷ đồng. Trong đó s</w:t>
            </w:r>
            <w:r w:rsidR="00C97BF4" w:rsidRPr="0051201F">
              <w:rPr>
                <w:rFonts w:ascii="Times New Roman" w:hAnsi="Times New Roman" w:cs="Times New Roman"/>
                <w:color w:val="000000" w:themeColor="text1"/>
                <w:sz w:val="28"/>
                <w:szCs w:val="28"/>
              </w:rPr>
              <w:t>ố phương tiện xe máy đăng ký trên địa bàn thành phố hiện nay 3.682.450 xe</w:t>
            </w:r>
            <w:r w:rsidR="00784A4A" w:rsidRPr="0051201F">
              <w:rPr>
                <w:rFonts w:ascii="Times New Roman" w:hAnsi="Times New Roman" w:cs="Times New Roman"/>
                <w:color w:val="000000" w:themeColor="text1"/>
                <w:sz w:val="28"/>
                <w:szCs w:val="28"/>
              </w:rPr>
              <w:t xml:space="preserve"> </w:t>
            </w:r>
            <w:r w:rsidR="00C97BF4" w:rsidRPr="0051201F">
              <w:rPr>
                <w:rFonts w:ascii="Times New Roman" w:hAnsi="Times New Roman" w:cs="Times New Roman"/>
                <w:color w:val="000000" w:themeColor="text1"/>
                <w:sz w:val="28"/>
                <w:szCs w:val="28"/>
              </w:rPr>
              <w:t xml:space="preserve">( số liệu công an TP) trong đó xe sử dụng hóa thạch: 3.486.534 xe; tỷ lệ xe chuyển đổi dự tính </w:t>
            </w:r>
            <w:r w:rsidR="00A63FB7" w:rsidRPr="0051201F">
              <w:rPr>
                <w:rFonts w:ascii="Times New Roman" w:hAnsi="Times New Roman" w:cs="Times New Roman"/>
                <w:color w:val="000000" w:themeColor="text1"/>
                <w:sz w:val="28"/>
                <w:szCs w:val="28"/>
              </w:rPr>
              <w:t>96</w:t>
            </w:r>
            <w:r w:rsidR="00C97BF4" w:rsidRPr="0051201F">
              <w:rPr>
                <w:rFonts w:ascii="Times New Roman" w:hAnsi="Times New Roman" w:cs="Times New Roman"/>
                <w:color w:val="000000" w:themeColor="text1"/>
                <w:sz w:val="28"/>
                <w:szCs w:val="28"/>
              </w:rPr>
              <w:t>%</w:t>
            </w:r>
            <w:r w:rsidR="00784A4A" w:rsidRPr="0051201F">
              <w:rPr>
                <w:rFonts w:ascii="Times New Roman" w:hAnsi="Times New Roman" w:cs="Times New Roman"/>
                <w:color w:val="000000" w:themeColor="text1"/>
                <w:sz w:val="28"/>
                <w:szCs w:val="28"/>
              </w:rPr>
              <w:t xml:space="preserve">. </w:t>
            </w:r>
            <w:r w:rsidR="00C97BF4" w:rsidRPr="0051201F">
              <w:rPr>
                <w:rFonts w:ascii="Times New Roman" w:hAnsi="Times New Roman" w:cs="Times New Roman"/>
                <w:color w:val="000000" w:themeColor="text1"/>
                <w:sz w:val="28"/>
                <w:szCs w:val="28"/>
              </w:rPr>
              <w:t xml:space="preserve"> x</w:t>
            </w:r>
            <w:r w:rsidR="00A63FB7" w:rsidRPr="0051201F">
              <w:rPr>
                <w:rFonts w:ascii="Times New Roman" w:hAnsi="Times New Roman" w:cs="Times New Roman"/>
                <w:color w:val="000000" w:themeColor="text1"/>
                <w:sz w:val="28"/>
                <w:szCs w:val="28"/>
              </w:rPr>
              <w:t xml:space="preserve">e </w:t>
            </w:r>
            <w:r w:rsidR="00784A4A" w:rsidRPr="0051201F">
              <w:rPr>
                <w:rFonts w:ascii="Times New Roman" w:hAnsi="Times New Roman" w:cs="Times New Roman"/>
                <w:color w:val="000000" w:themeColor="text1"/>
                <w:sz w:val="28"/>
                <w:szCs w:val="28"/>
              </w:rPr>
              <w:t xml:space="preserve">chuyển đổi nhận </w:t>
            </w:r>
            <w:r w:rsidR="00A63FB7" w:rsidRPr="0051201F">
              <w:rPr>
                <w:rFonts w:ascii="Times New Roman" w:hAnsi="Times New Roman" w:cs="Times New Roman"/>
                <w:color w:val="000000" w:themeColor="text1"/>
                <w:sz w:val="28"/>
                <w:szCs w:val="28"/>
              </w:rPr>
              <w:t xml:space="preserve">hỗ trợ </w:t>
            </w:r>
            <w:r w:rsidR="00784A4A" w:rsidRPr="0051201F">
              <w:rPr>
                <w:rFonts w:ascii="Times New Roman" w:hAnsi="Times New Roman" w:cs="Times New Roman"/>
                <w:color w:val="000000" w:themeColor="text1"/>
                <w:sz w:val="28"/>
                <w:szCs w:val="28"/>
              </w:rPr>
              <w:t xml:space="preserve">bằng tiền đối với hộ thông thường là </w:t>
            </w:r>
            <w:r w:rsidRPr="0051201F">
              <w:rPr>
                <w:rFonts w:ascii="Times New Roman" w:hAnsi="Times New Roman" w:cs="Times New Roman"/>
                <w:color w:val="000000" w:themeColor="text1"/>
                <w:sz w:val="28"/>
                <w:szCs w:val="28"/>
              </w:rPr>
              <w:t xml:space="preserve">13.904 tỷ và hộ cận nghèo 129,5 tỷ ( hộ ngheo theo QĐ 740/QĐ-UBND ngày 13/2/2026 là 7.565 hộ tỷ lệ hỗ cận nghèo là 0.31%. Tổng </w:t>
            </w:r>
            <w:r w:rsidR="00AE1307" w:rsidRPr="0051201F">
              <w:rPr>
                <w:rFonts w:ascii="Times New Roman" w:hAnsi="Times New Roman" w:cs="Times New Roman"/>
                <w:color w:val="000000" w:themeColor="text1"/>
                <w:sz w:val="28"/>
                <w:szCs w:val="28"/>
              </w:rPr>
              <w:t xml:space="preserve">- </w:t>
            </w:r>
            <w:r w:rsidRPr="0051201F">
              <w:rPr>
                <w:rFonts w:ascii="Times New Roman" w:hAnsi="Times New Roman" w:cs="Times New Roman"/>
                <w:color w:val="000000" w:themeColor="text1"/>
                <w:sz w:val="28"/>
                <w:szCs w:val="28"/>
              </w:rPr>
              <w:t>Kinh phí hỗ trợ dự kiến sau rà soát 22.248 tỷ đồng</w:t>
            </w:r>
            <w:r w:rsidR="00AE1307" w:rsidRPr="0051201F">
              <w:rPr>
                <w:rFonts w:ascii="Times New Roman" w:hAnsi="Times New Roman" w:cs="Times New Roman"/>
                <w:color w:val="000000" w:themeColor="text1"/>
                <w:sz w:val="28"/>
                <w:szCs w:val="28"/>
              </w:rPr>
              <w:t>. Nguồn lực hộ trợ tính trong giai đoạn 2026 đến 2030,</w:t>
            </w:r>
            <w:r w:rsidRPr="0051201F">
              <w:rPr>
                <w:rFonts w:ascii="Times New Roman" w:hAnsi="Times New Roman" w:cs="Times New Roman"/>
                <w:color w:val="000000" w:themeColor="text1"/>
                <w:sz w:val="28"/>
                <w:szCs w:val="28"/>
              </w:rPr>
              <w:t xml:space="preserve"> Sở Xây dựng có bảng tính chi tiết từng nhóm kèm theo. Trong đó đã phân ký theo từng năm ( Năm 2026: 2.70</w:t>
            </w:r>
            <w:r w:rsidR="00AE1307" w:rsidRPr="0051201F">
              <w:rPr>
                <w:rFonts w:ascii="Times New Roman" w:hAnsi="Times New Roman" w:cs="Times New Roman"/>
                <w:color w:val="000000" w:themeColor="text1"/>
                <w:sz w:val="28"/>
                <w:szCs w:val="28"/>
              </w:rPr>
              <w:t>7</w:t>
            </w:r>
            <w:r w:rsidRPr="0051201F">
              <w:rPr>
                <w:rFonts w:ascii="Times New Roman" w:hAnsi="Times New Roman" w:cs="Times New Roman"/>
                <w:color w:val="000000" w:themeColor="text1"/>
                <w:sz w:val="28"/>
                <w:szCs w:val="28"/>
              </w:rPr>
              <w:t xml:space="preserve"> tỷ </w:t>
            </w:r>
            <w:r w:rsidRPr="0051201F">
              <w:rPr>
                <w:rFonts w:ascii="Times New Roman" w:hAnsi="Times New Roman" w:cs="Times New Roman"/>
                <w:color w:val="000000" w:themeColor="text1"/>
                <w:sz w:val="28"/>
                <w:szCs w:val="28"/>
              </w:rPr>
              <w:lastRenderedPageBreak/>
              <w:t>đồng; năm 2027: 8.659</w:t>
            </w:r>
            <w:r w:rsidR="00AE1307" w:rsidRPr="0051201F">
              <w:rPr>
                <w:rFonts w:ascii="Times New Roman" w:hAnsi="Times New Roman" w:cs="Times New Roman"/>
                <w:color w:val="000000" w:themeColor="text1"/>
                <w:sz w:val="28"/>
                <w:szCs w:val="28"/>
              </w:rPr>
              <w:t xml:space="preserve"> tỷ đồng, 2028: 6.531 tỷ đồng; 2029: 4.034 tỷ đồng và 2030 là 327 tỷ đồng</w:t>
            </w:r>
          </w:p>
          <w:p w14:paraId="3950E03E" w14:textId="50D5B4FC" w:rsidR="00472EC3" w:rsidRPr="0051201F" w:rsidRDefault="00AE1307">
            <w:pPr>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w:t>
            </w:r>
            <w:r w:rsidR="00472EC3" w:rsidRPr="0051201F">
              <w:rPr>
                <w:rFonts w:ascii="Times New Roman" w:hAnsi="Times New Roman" w:cs="Times New Roman"/>
                <w:color w:val="000000" w:themeColor="text1"/>
                <w:sz w:val="28"/>
                <w:szCs w:val="28"/>
              </w:rPr>
              <w:t>Về khả năng cân đối nguồn lực để thực hiện nghị quyết đề nghị Sở Tài chính xem xét và ý kiến</w:t>
            </w:r>
          </w:p>
        </w:tc>
      </w:tr>
      <w:tr w:rsidR="00802E3F" w:rsidRPr="0051201F" w14:paraId="4214C0A9" w14:textId="77777777" w:rsidTr="00304112">
        <w:tc>
          <w:tcPr>
            <w:tcW w:w="704" w:type="dxa"/>
          </w:tcPr>
          <w:p w14:paraId="0EF69123" w14:textId="77777777" w:rsidR="00802E3F" w:rsidRPr="0051201F" w:rsidRDefault="005D6209">
            <w:pPr>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lastRenderedPageBreak/>
              <w:t>3</w:t>
            </w:r>
          </w:p>
        </w:tc>
        <w:tc>
          <w:tcPr>
            <w:tcW w:w="7371" w:type="dxa"/>
          </w:tcPr>
          <w:p w14:paraId="242A9E4B" w14:textId="4EB5E2CF" w:rsidR="00802E3F" w:rsidRPr="0051201F" w:rsidRDefault="002B7658" w:rsidP="002B7658">
            <w:pPr>
              <w:pStyle w:val="Heading1"/>
              <w:spacing w:before="40" w:after="40" w:line="259" w:lineRule="auto"/>
              <w:jc w:val="both"/>
              <w:outlineLvl w:val="0"/>
              <w:rPr>
                <w:rFonts w:ascii="Times New Roman" w:eastAsia="Times New Roman" w:hAnsi="Times New Roman" w:cs="Times New Roman"/>
                <w:color w:val="000000" w:themeColor="text1"/>
                <w:sz w:val="28"/>
                <w:szCs w:val="28"/>
                <w:lang w:val="en-US"/>
              </w:rPr>
            </w:pPr>
            <w:r w:rsidRPr="0051201F">
              <w:rPr>
                <w:rFonts w:ascii="Times New Roman" w:eastAsia="Times New Roman" w:hAnsi="Times New Roman" w:cs="Times New Roman"/>
                <w:color w:val="000000" w:themeColor="text1"/>
                <w:sz w:val="28"/>
                <w:szCs w:val="28"/>
                <w:lang w:val="en-US"/>
              </w:rPr>
              <w:t xml:space="preserve">Phạm vi và đối tượng tác động của Nghị quyết xã hội rất rộng, bao gồm hỗ trợ chuyển đổi phương tiện cá nhân, phương tiện kinh doanh vận tải, đầu tư hạ tầng trạm sạc và giao thông phi cơ giới, cũng như chính sách phí, lệ phí và giá dịch vụ. Tuy nhiên các giải pháp cụ thể để tổ chức thực hiện chưa được nghiên cứu đề cập như quy trình tổ chức hỗ trợ ( cơ quan hỗ trợ, trình tự thủ tục, điều kiện…; sự phối hợp và trách nhiệm giữa các ngành, chính quyền địa phương… là mấu chốt để đảm bảo Nghị quyết đi vào cuộc sống. Do đó, đề nghị UBND Thành phố nghiên cứu, bổ sung các giải pháp tổ chức thực hiện </w:t>
            </w:r>
          </w:p>
        </w:tc>
        <w:tc>
          <w:tcPr>
            <w:tcW w:w="6712" w:type="dxa"/>
          </w:tcPr>
          <w:p w14:paraId="7C4652A1" w14:textId="6413C1D3" w:rsidR="00EB2FA8" w:rsidRPr="0051201F" w:rsidRDefault="002B7658" w:rsidP="00043EDE">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Tại phần tổ chức thực hiện tring Nghị Quyết có giao UBND Thành phố xây dựng kế hoạch, đề án</w:t>
            </w:r>
            <w:r w:rsidR="00945372" w:rsidRPr="0051201F">
              <w:rPr>
                <w:rFonts w:ascii="Times New Roman" w:hAnsi="Times New Roman" w:cs="Times New Roman"/>
                <w:color w:val="000000" w:themeColor="text1"/>
                <w:sz w:val="28"/>
                <w:szCs w:val="28"/>
              </w:rPr>
              <w:t xml:space="preserve">, giao nhiệm vụ cho các Sở , ngành, đơn vị để triển khai chi tiết ( điều kiện, trình tự thủ tục). Để kịp tiến độ thi hành của Nghị quyết, Sở Xây dựng đã thực hiện dự thảo </w:t>
            </w:r>
            <w:r w:rsidR="00EB2FA8" w:rsidRPr="0051201F">
              <w:rPr>
                <w:rFonts w:ascii="Times New Roman" w:hAnsi="Times New Roman" w:cs="Times New Roman"/>
                <w:color w:val="000000" w:themeColor="text1"/>
                <w:sz w:val="28"/>
                <w:szCs w:val="28"/>
              </w:rPr>
              <w:t xml:space="preserve">02 </w:t>
            </w:r>
            <w:r w:rsidR="00945372" w:rsidRPr="0051201F">
              <w:rPr>
                <w:rFonts w:ascii="Times New Roman" w:hAnsi="Times New Roman" w:cs="Times New Roman"/>
                <w:color w:val="000000" w:themeColor="text1"/>
                <w:sz w:val="28"/>
                <w:szCs w:val="28"/>
              </w:rPr>
              <w:t>Quyết định trình</w:t>
            </w:r>
            <w:r w:rsidR="00EB2FA8" w:rsidRPr="0051201F">
              <w:rPr>
                <w:rFonts w:ascii="Times New Roman" w:hAnsi="Times New Roman" w:cs="Times New Roman"/>
                <w:color w:val="000000" w:themeColor="text1"/>
                <w:sz w:val="28"/>
                <w:szCs w:val="28"/>
              </w:rPr>
              <w:t xml:space="preserve"> tự , thủ tục </w:t>
            </w:r>
            <w:r w:rsidR="00945372" w:rsidRPr="0051201F">
              <w:rPr>
                <w:rFonts w:ascii="Times New Roman" w:hAnsi="Times New Roman" w:cs="Times New Roman"/>
                <w:color w:val="000000" w:themeColor="text1"/>
                <w:sz w:val="28"/>
                <w:szCs w:val="28"/>
              </w:rPr>
              <w:t xml:space="preserve"> hỗ trợ </w:t>
            </w:r>
            <w:r w:rsidR="00EB2FA8" w:rsidRPr="0051201F">
              <w:rPr>
                <w:rFonts w:ascii="Times New Roman" w:hAnsi="Times New Roman" w:cs="Times New Roman"/>
                <w:color w:val="000000" w:themeColor="text1"/>
                <w:sz w:val="28"/>
                <w:szCs w:val="28"/>
              </w:rPr>
              <w:t>người dân thực hiện</w:t>
            </w:r>
            <w:r w:rsidR="00945372" w:rsidRPr="0051201F">
              <w:rPr>
                <w:rFonts w:ascii="Times New Roman" w:hAnsi="Times New Roman" w:cs="Times New Roman"/>
                <w:color w:val="000000" w:themeColor="text1"/>
                <w:sz w:val="28"/>
                <w:szCs w:val="28"/>
              </w:rPr>
              <w:t xml:space="preserve"> chuyển đổi phương tiện</w:t>
            </w:r>
            <w:r w:rsidR="00EB2FA8" w:rsidRPr="0051201F">
              <w:rPr>
                <w:rFonts w:ascii="Times New Roman" w:hAnsi="Times New Roman" w:cs="Times New Roman"/>
                <w:color w:val="000000" w:themeColor="text1"/>
                <w:sz w:val="28"/>
                <w:szCs w:val="28"/>
              </w:rPr>
              <w:t xml:space="preserve"> giao thông đường bộ từ nhiên liệu hóa thạch sang sử dụng năng lượng sạch trong đó để thuận tiện cho người dân và công tác quản lý giám sát người dân thường trú và tạm trú trên địa bàn quản lý, việc hỗ trợ cho người dân sẽ do UBND phường xã triển khai theo đó căn cứ nguyên tắc và điều kiện được hỗ trợ người dân nôp hồ sơ theo quy định và nhận tiền hỗ trợ tại địa bàn nơi sinh sống, hình thức nhận tiền có thể bằng tiền mặt hoặc chuyển khoản.</w:t>
            </w:r>
          </w:p>
          <w:p w14:paraId="497D0574" w14:textId="77777777" w:rsidR="00802E3F" w:rsidRPr="0051201F" w:rsidRDefault="00945372" w:rsidP="00043EDE">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 và </w:t>
            </w:r>
            <w:r w:rsidR="00EB2FA8" w:rsidRPr="0051201F">
              <w:rPr>
                <w:rFonts w:ascii="Times New Roman" w:hAnsi="Times New Roman" w:cs="Times New Roman"/>
                <w:color w:val="000000" w:themeColor="text1"/>
                <w:sz w:val="28"/>
                <w:szCs w:val="28"/>
              </w:rPr>
              <w:t xml:space="preserve">Quyết định </w:t>
            </w:r>
            <w:r w:rsidRPr="0051201F">
              <w:rPr>
                <w:rFonts w:ascii="Times New Roman" w:hAnsi="Times New Roman" w:cs="Times New Roman"/>
                <w:color w:val="000000" w:themeColor="text1"/>
                <w:sz w:val="28"/>
                <w:szCs w:val="28"/>
              </w:rPr>
              <w:t xml:space="preserve">Quy định </w:t>
            </w:r>
            <w:r w:rsidR="00EB2FA8" w:rsidRPr="0051201F">
              <w:rPr>
                <w:rFonts w:ascii="Times New Roman" w:hAnsi="Times New Roman" w:cs="Times New Roman"/>
                <w:color w:val="000000" w:themeColor="text1"/>
                <w:sz w:val="28"/>
                <w:szCs w:val="28"/>
              </w:rPr>
              <w:t>về trình tự, thủ tục hỗ trợ lãi vay để chuyển đổi, đầu tư phương tiện….</w:t>
            </w:r>
            <w:r w:rsidRPr="0051201F">
              <w:rPr>
                <w:rFonts w:ascii="Times New Roman" w:hAnsi="Times New Roman" w:cs="Times New Roman"/>
                <w:color w:val="000000" w:themeColor="text1"/>
                <w:sz w:val="28"/>
                <w:szCs w:val="28"/>
              </w:rPr>
              <w:t xml:space="preserve"> </w:t>
            </w:r>
            <w:r w:rsidR="00EB2FA8" w:rsidRPr="0051201F">
              <w:rPr>
                <w:rFonts w:ascii="Times New Roman" w:hAnsi="Times New Roman" w:cs="Times New Roman"/>
                <w:color w:val="000000" w:themeColor="text1"/>
                <w:sz w:val="28"/>
                <w:szCs w:val="28"/>
              </w:rPr>
              <w:t xml:space="preserve"> trong đó </w:t>
            </w:r>
            <w:r w:rsidR="00043EDE" w:rsidRPr="0051201F">
              <w:rPr>
                <w:rFonts w:ascii="Times New Roman" w:hAnsi="Times New Roman" w:cs="Times New Roman"/>
                <w:color w:val="000000" w:themeColor="text1"/>
                <w:sz w:val="28"/>
                <w:szCs w:val="28"/>
              </w:rPr>
              <w:t xml:space="preserve">các tổ chức, doanh nghiệp có dự án đầu tư chuyển đổi phương tiện, đầu tư phát triển hệ thống trạm tiếp năng lượng gửi hồ sơ đề nghị hỗ trợ lãi vay đến Sở Xây dựng để xem xét giải quyết, Sở Xây dựng sẽ xin ý kiến Sở Tài chính, thẩm định hồ sơ và báo cáo UBND Thành phố xem xét phê duyệt danh sách được hỗ trợ và số tiền hỗ trợ thời gian hỗ trợ cho từng dự án. Sau khi có Quyết định của UBND Thành phố </w:t>
            </w:r>
            <w:r w:rsidR="00E17410" w:rsidRPr="0051201F">
              <w:rPr>
                <w:rFonts w:ascii="Times New Roman" w:hAnsi="Times New Roman" w:cs="Times New Roman"/>
                <w:color w:val="000000" w:themeColor="text1"/>
                <w:sz w:val="28"/>
                <w:szCs w:val="28"/>
              </w:rPr>
              <w:t xml:space="preserve">Sở Tài chính sẽ lập lệnh chi tiền gửi Kho bạc nhà nước để thực </w:t>
            </w:r>
            <w:r w:rsidR="00E17410" w:rsidRPr="0051201F">
              <w:rPr>
                <w:rFonts w:ascii="Times New Roman" w:hAnsi="Times New Roman" w:cs="Times New Roman"/>
                <w:color w:val="000000" w:themeColor="text1"/>
                <w:sz w:val="28"/>
                <w:szCs w:val="28"/>
              </w:rPr>
              <w:lastRenderedPageBreak/>
              <w:t>hiện chi trả cho các tổ chức, doanh nghiệp ( kinh phí hỗ trợ sẽ chi trả theo từng năm.</w:t>
            </w:r>
          </w:p>
          <w:p w14:paraId="12076E07" w14:textId="1AC2FA85" w:rsidR="00E17410" w:rsidRPr="0051201F" w:rsidRDefault="00E17410" w:rsidP="00043EDE">
            <w:pPr>
              <w:jc w:val="both"/>
              <w:rPr>
                <w:rFonts w:ascii="Times New Roman" w:hAnsi="Times New Roman" w:cs="Times New Roman"/>
                <w:color w:val="000000" w:themeColor="text1"/>
                <w:sz w:val="28"/>
                <w:szCs w:val="28"/>
              </w:rPr>
            </w:pPr>
          </w:p>
        </w:tc>
      </w:tr>
      <w:tr w:rsidR="003E5C5B" w:rsidRPr="0051201F" w14:paraId="2F9AD1C1" w14:textId="77777777" w:rsidTr="00304112">
        <w:tc>
          <w:tcPr>
            <w:tcW w:w="704" w:type="dxa"/>
          </w:tcPr>
          <w:p w14:paraId="0F1BAD04" w14:textId="616DA11E" w:rsidR="003E5C5B" w:rsidRPr="0051201F" w:rsidRDefault="003E5C5B">
            <w:pPr>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lastRenderedPageBreak/>
              <w:t>4</w:t>
            </w:r>
          </w:p>
        </w:tc>
        <w:tc>
          <w:tcPr>
            <w:tcW w:w="7371" w:type="dxa"/>
          </w:tcPr>
          <w:p w14:paraId="33C91D03" w14:textId="2D3DB553" w:rsidR="003E5C5B" w:rsidRPr="0051201F" w:rsidRDefault="003E5C5B" w:rsidP="002B7658">
            <w:pPr>
              <w:pStyle w:val="Heading1"/>
              <w:spacing w:before="40" w:after="40" w:line="259" w:lineRule="auto"/>
              <w:jc w:val="both"/>
              <w:outlineLvl w:val="0"/>
              <w:rPr>
                <w:rFonts w:ascii="Times New Roman" w:eastAsia="Times New Roman" w:hAnsi="Times New Roman" w:cs="Times New Roman"/>
                <w:color w:val="000000" w:themeColor="text1"/>
                <w:sz w:val="28"/>
                <w:szCs w:val="28"/>
                <w:lang w:val="en-US"/>
              </w:rPr>
            </w:pPr>
            <w:r w:rsidRPr="0051201F">
              <w:rPr>
                <w:rFonts w:ascii="Times New Roman" w:eastAsia="Times New Roman" w:hAnsi="Times New Roman" w:cs="Times New Roman"/>
                <w:color w:val="000000" w:themeColor="text1"/>
                <w:sz w:val="28"/>
                <w:szCs w:val="28"/>
                <w:lang w:val="en-US"/>
              </w:rPr>
              <w:t>Nghị quyết trình ban hành nhằm thực hiện điểm g khoản 1 Điều 13 của Luật Thủ đô số 02/2026/QH16. Tuy nhiên, phạm vi nghiên cứu thực hiện chưa bao quát đầy đủ các nội dung quy định tại điểm g khoản 1 Điều 13 Luật Thủ đô số 02/2026/QH16. Do đó đề nghị nghiên cứu thực hiện đảm bảo không để sót nội dung, nhiệm vụ</w:t>
            </w:r>
          </w:p>
        </w:tc>
        <w:tc>
          <w:tcPr>
            <w:tcW w:w="6712" w:type="dxa"/>
          </w:tcPr>
          <w:p w14:paraId="4902E212" w14:textId="77777777" w:rsidR="00595A70" w:rsidRPr="0051201F" w:rsidRDefault="00595A70" w:rsidP="003E5C5B">
            <w:pPr>
              <w:jc w:val="both"/>
              <w:rPr>
                <w:rFonts w:ascii="Times New Roman" w:eastAsia="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Điểm g khoản 1 Điều 13 Luật Thủ đô </w:t>
            </w:r>
            <w:r w:rsidRPr="0051201F">
              <w:rPr>
                <w:rFonts w:ascii="Times New Roman" w:eastAsia="Times New Roman" w:hAnsi="Times New Roman" w:cs="Times New Roman"/>
                <w:color w:val="000000" w:themeColor="text1"/>
                <w:sz w:val="28"/>
                <w:szCs w:val="28"/>
              </w:rPr>
              <w:t>số 02/2026/QH16: “Chính sách chính sách hỗ trợ đầu tư phát triển hạ tầng giao thông sử dụng năng lượng sạch, giao thông phi cơ giới; hỗ trợ chuyển đổi phương tiện giao thông đường bộ từ sử dụng nhiên liệu hoá thạch sang sử dụng năng lượng sạch; biện pháp hạn chế sử dụng phương tiện giao thông đường bộ phát thải gây ô nhiễm môi trường”.</w:t>
            </w:r>
          </w:p>
          <w:p w14:paraId="4682B9A3" w14:textId="1985A561" w:rsidR="003E5C5B" w:rsidRPr="0051201F" w:rsidRDefault="003E5C5B" w:rsidP="003E5C5B">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 xml:space="preserve">Phạm vi nghiên cứu theo điểm g khoản 1 Điều 13 Luật Thủ đô số 02/2026/QH16 là tương đối rộng. </w:t>
            </w:r>
            <w:r w:rsidR="00595A70" w:rsidRPr="0051201F">
              <w:rPr>
                <w:rFonts w:ascii="Times New Roman" w:hAnsi="Times New Roman" w:cs="Times New Roman"/>
                <w:color w:val="000000" w:themeColor="text1"/>
                <w:sz w:val="28"/>
                <w:szCs w:val="28"/>
              </w:rPr>
              <w:t xml:space="preserve">Phạm vi nghiên cứu </w:t>
            </w:r>
            <w:r w:rsidRPr="0051201F">
              <w:rPr>
                <w:rFonts w:ascii="Times New Roman" w:hAnsi="Times New Roman" w:cs="Times New Roman"/>
                <w:color w:val="000000" w:themeColor="text1"/>
                <w:sz w:val="28"/>
                <w:szCs w:val="28"/>
              </w:rPr>
              <w:t xml:space="preserve">Nghị quyết này chỉ quy định </w:t>
            </w:r>
            <w:r w:rsidR="00595A70" w:rsidRPr="0051201F">
              <w:rPr>
                <w:rFonts w:ascii="Times New Roman" w:hAnsi="Times New Roman" w:cs="Times New Roman"/>
                <w:b/>
                <w:color w:val="000000" w:themeColor="text1"/>
                <w:sz w:val="28"/>
                <w:szCs w:val="28"/>
              </w:rPr>
              <w:t>một số chính sách</w:t>
            </w:r>
            <w:r w:rsidR="00595A70" w:rsidRPr="0051201F">
              <w:rPr>
                <w:rFonts w:ascii="Times New Roman" w:hAnsi="Times New Roman" w:cs="Times New Roman"/>
                <w:color w:val="000000" w:themeColor="text1"/>
                <w:sz w:val="28"/>
                <w:szCs w:val="28"/>
              </w:rPr>
              <w:t xml:space="preserve"> hỗ trợ đầu tư phát triển hạ tầng giao thông </w:t>
            </w:r>
            <w:r w:rsidR="00595A70" w:rsidRPr="0051201F">
              <w:rPr>
                <w:rFonts w:ascii="Times New Roman" w:hAnsi="Times New Roman" w:cs="Times New Roman"/>
                <w:b/>
                <w:color w:val="000000" w:themeColor="text1"/>
                <w:sz w:val="28"/>
                <w:szCs w:val="28"/>
              </w:rPr>
              <w:t>đường bộ</w:t>
            </w:r>
            <w:r w:rsidR="00595A70" w:rsidRPr="0051201F">
              <w:rPr>
                <w:rFonts w:ascii="Times New Roman" w:hAnsi="Times New Roman" w:cs="Times New Roman"/>
                <w:color w:val="000000" w:themeColor="text1"/>
                <w:sz w:val="28"/>
                <w:szCs w:val="28"/>
              </w:rPr>
              <w:t xml:space="preserve"> sử dụng năng lượng sạch, giao thông phi cơ giới; hỗ trợ chuyển đổi phương tiện giao thông </w:t>
            </w:r>
            <w:r w:rsidR="00595A70" w:rsidRPr="0051201F">
              <w:rPr>
                <w:rFonts w:ascii="Times New Roman" w:hAnsi="Times New Roman" w:cs="Times New Roman"/>
                <w:b/>
                <w:color w:val="000000" w:themeColor="text1"/>
                <w:sz w:val="28"/>
                <w:szCs w:val="28"/>
              </w:rPr>
              <w:t>đường bộ</w:t>
            </w:r>
            <w:r w:rsidR="00595A70" w:rsidRPr="0051201F">
              <w:rPr>
                <w:rFonts w:ascii="Times New Roman" w:hAnsi="Times New Roman" w:cs="Times New Roman"/>
                <w:color w:val="000000" w:themeColor="text1"/>
                <w:sz w:val="28"/>
                <w:szCs w:val="28"/>
              </w:rPr>
              <w:t xml:space="preserve"> từ sử dụng nhiên liệu hoá thạch sang sử dụng năng lượng sạch; </w:t>
            </w:r>
            <w:r w:rsidR="00595A70" w:rsidRPr="0051201F">
              <w:rPr>
                <w:rFonts w:ascii="Times New Roman" w:hAnsi="Times New Roman" w:cs="Times New Roman"/>
                <w:b/>
                <w:color w:val="000000" w:themeColor="text1"/>
                <w:sz w:val="28"/>
                <w:szCs w:val="28"/>
              </w:rPr>
              <w:t>một số biện pháp</w:t>
            </w:r>
            <w:r w:rsidR="00595A70" w:rsidRPr="0051201F">
              <w:rPr>
                <w:rFonts w:ascii="Times New Roman" w:hAnsi="Times New Roman" w:cs="Times New Roman"/>
                <w:color w:val="000000" w:themeColor="text1"/>
                <w:sz w:val="28"/>
                <w:szCs w:val="28"/>
              </w:rPr>
              <w:t xml:space="preserve"> hạn chế sử dụng phương tiện giao thông đường bộ phát thải gây ô nhiễm môi trường trên địa bàn thành phố Hà Nội.</w:t>
            </w:r>
          </w:p>
          <w:p w14:paraId="456ADC86" w14:textId="201886B2" w:rsidR="003E5C5B" w:rsidRPr="0051201F" w:rsidRDefault="003E5C5B" w:rsidP="003E5C5B">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Các chính phát triển hạ tầng giao thông khác như: đường sắt, đường hàng không, bến bãi đỗ xe... sẽ được quy định tại các Nghị quyết khác của HĐND Thành phố đang được tổ chức xây dựng như: Nghị quyết quy định chính sách đầu tư phát triển kết cấu hạ tầng giao thông; Nghị quyết quy định chính sách quản lý, khai thác đường bộ, đường sắt địa phương, nhà ga bảo đảm trật tự, an toàn giao thông, văn minh đô thị trên địa bàn Thành phố; …mà không thuộc phạm vi điều chỉnh của Nghị quyết này.</w:t>
            </w:r>
          </w:p>
        </w:tc>
      </w:tr>
      <w:tr w:rsidR="00595A70" w:rsidRPr="0051201F" w14:paraId="600E3E97" w14:textId="77777777" w:rsidTr="00304112">
        <w:tc>
          <w:tcPr>
            <w:tcW w:w="704" w:type="dxa"/>
          </w:tcPr>
          <w:p w14:paraId="797FAFAC" w14:textId="1D841EAB" w:rsidR="00595A70" w:rsidRPr="0051201F" w:rsidRDefault="00595A70">
            <w:pPr>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lastRenderedPageBreak/>
              <w:t>5</w:t>
            </w:r>
          </w:p>
        </w:tc>
        <w:tc>
          <w:tcPr>
            <w:tcW w:w="7371" w:type="dxa"/>
          </w:tcPr>
          <w:p w14:paraId="328362D4" w14:textId="22473F0E" w:rsidR="00595A70" w:rsidRPr="0051201F" w:rsidRDefault="00595A70" w:rsidP="002B7658">
            <w:pPr>
              <w:pStyle w:val="Heading1"/>
              <w:spacing w:before="40" w:after="40" w:line="259" w:lineRule="auto"/>
              <w:jc w:val="both"/>
              <w:outlineLvl w:val="0"/>
              <w:rPr>
                <w:rFonts w:ascii="Times New Roman" w:eastAsia="Times New Roman" w:hAnsi="Times New Roman" w:cs="Times New Roman"/>
                <w:color w:val="000000" w:themeColor="text1"/>
                <w:sz w:val="28"/>
                <w:szCs w:val="28"/>
                <w:lang w:val="en-US"/>
              </w:rPr>
            </w:pPr>
            <w:r w:rsidRPr="0051201F">
              <w:rPr>
                <w:rFonts w:ascii="Times New Roman" w:eastAsia="Times New Roman" w:hAnsi="Times New Roman" w:cs="Times New Roman"/>
                <w:color w:val="000000" w:themeColor="text1"/>
                <w:sz w:val="28"/>
                <w:szCs w:val="28"/>
                <w:lang w:val="en-US"/>
              </w:rPr>
              <w:t>Mục tiêu của Nghị quyết rất rõ ràng, phù hợp với chủ trương của Trung ương và Thành phố, tuy nhiên cần phải đặt chung, có tính liên thông đối với các chính sách có liên quan như Vùng phát thải thấp, giá dịch vụ trông giữ xe, phí sử dụng tạm thời lòng đường, hè phố, các quy định khác về khuyến khích đầu tư chỗ đỗ xe ô tô trên địa bàn</w:t>
            </w:r>
            <w:r w:rsidR="00835D3D" w:rsidRPr="0051201F">
              <w:rPr>
                <w:rFonts w:ascii="Times New Roman" w:eastAsia="Times New Roman" w:hAnsi="Times New Roman" w:cs="Times New Roman"/>
                <w:color w:val="000000" w:themeColor="text1"/>
                <w:sz w:val="28"/>
                <w:szCs w:val="28"/>
                <w:lang w:val="en-US"/>
              </w:rPr>
              <w:t>, cung nhiều giải pháp kèm theo</w:t>
            </w:r>
          </w:p>
        </w:tc>
        <w:tc>
          <w:tcPr>
            <w:tcW w:w="6712" w:type="dxa"/>
          </w:tcPr>
          <w:p w14:paraId="7735404D" w14:textId="77777777" w:rsidR="00595A70" w:rsidRPr="0051201F" w:rsidRDefault="00835D3D" w:rsidP="003E5C5B">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Dự thảo Nghị quyết hiện được xây dựng với mục tiêu trọng tâm là thúc đẩy chuyển đổi phương tiện giao thông sử dụng năng lượng sạch, năng lượng xanh; phát triển hạ tầng tiếp năng lượng sạch và từng bước hạn chế phương tiện phát thải gây ô nhiễm môi trường. Nghị quyết được xây dựng đồng thời với Đề án Vùng phát thải thấp trong vành đai 1 do Sở Nông nghiệp và Môi trường chủ trì. Trong quá trình xây dựng Nghị quyết và Đề án có sự phối hợp chặt chẽ giữa Sở Xây dựng và Sở nông nghiệp và Môi trường để các chính sách, biện pháp có tính liên thông, không xung đột, mâu thuẫn. Các cơ chế, chính sách, biện pháp đề xuất trong Nghị quyết này sẽ hỗ trợ cho việc thực hiện Đề án Vùng phát thải thấp.</w:t>
            </w:r>
          </w:p>
          <w:p w14:paraId="757336E7" w14:textId="5D6FBD31" w:rsidR="00835D3D" w:rsidRPr="0051201F" w:rsidRDefault="00835D3D" w:rsidP="003E5C5B">
            <w:pPr>
              <w:jc w:val="both"/>
              <w:rPr>
                <w:rFonts w:ascii="Times New Roman" w:hAnsi="Times New Roman" w:cs="Times New Roman"/>
                <w:color w:val="000000" w:themeColor="text1"/>
                <w:sz w:val="28"/>
                <w:szCs w:val="28"/>
              </w:rPr>
            </w:pPr>
            <w:r w:rsidRPr="0051201F">
              <w:rPr>
                <w:rFonts w:ascii="Times New Roman" w:hAnsi="Times New Roman" w:cs="Times New Roman"/>
                <w:color w:val="000000" w:themeColor="text1"/>
                <w:sz w:val="28"/>
                <w:szCs w:val="28"/>
              </w:rPr>
              <w:t>Các chính sách khác có liên quan như giá dịch vụ trông giữ xe, phí sử dụng tạm thời lòng đường, hè phố, các quy định khác về khuyến khích đầu tư chỗ đỗ xe ô tô trên địa bàn… hiện đang được nghiên cứ</w:t>
            </w:r>
            <w:r w:rsidR="00EA4103" w:rsidRPr="0051201F">
              <w:rPr>
                <w:rFonts w:ascii="Times New Roman" w:hAnsi="Times New Roman" w:cs="Times New Roman"/>
                <w:color w:val="000000" w:themeColor="text1"/>
                <w:sz w:val="28"/>
                <w:szCs w:val="28"/>
              </w:rPr>
              <w:t>u triển khai thực hiện.</w:t>
            </w:r>
          </w:p>
        </w:tc>
      </w:tr>
    </w:tbl>
    <w:p w14:paraId="79A8A059" w14:textId="77777777" w:rsidR="00802E3F" w:rsidRPr="0051201F" w:rsidRDefault="00802E3F">
      <w:pPr>
        <w:rPr>
          <w:rFonts w:ascii="Times New Roman" w:hAnsi="Times New Roman" w:cs="Times New Roman"/>
          <w:color w:val="000000" w:themeColor="text1"/>
          <w:sz w:val="28"/>
          <w:szCs w:val="28"/>
        </w:rPr>
      </w:pPr>
    </w:p>
    <w:sectPr w:rsidR="00802E3F" w:rsidRPr="0051201F" w:rsidSect="00802E3F">
      <w:headerReference w:type="default" r:id="rId6"/>
      <w:pgSz w:w="16839" w:h="11907" w:orient="landscape" w:code="9"/>
      <w:pgMar w:top="1134" w:right="1021" w:bottom="1134" w:left="102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143A6" w14:textId="77777777" w:rsidR="007A28AE" w:rsidRDefault="007A28AE" w:rsidP="005D6209">
      <w:pPr>
        <w:spacing w:after="0" w:line="240" w:lineRule="auto"/>
      </w:pPr>
      <w:r>
        <w:separator/>
      </w:r>
    </w:p>
  </w:endnote>
  <w:endnote w:type="continuationSeparator" w:id="0">
    <w:p w14:paraId="1D4EC525" w14:textId="77777777" w:rsidR="007A28AE" w:rsidRDefault="007A28AE" w:rsidP="005D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C5BEF" w14:textId="77777777" w:rsidR="007A28AE" w:rsidRDefault="007A28AE" w:rsidP="005D6209">
      <w:pPr>
        <w:spacing w:after="0" w:line="240" w:lineRule="auto"/>
      </w:pPr>
      <w:r>
        <w:separator/>
      </w:r>
    </w:p>
  </w:footnote>
  <w:footnote w:type="continuationSeparator" w:id="0">
    <w:p w14:paraId="7F3932C6" w14:textId="77777777" w:rsidR="007A28AE" w:rsidRDefault="007A28AE" w:rsidP="005D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351772"/>
      <w:docPartObj>
        <w:docPartGallery w:val="Page Numbers (Top of Page)"/>
        <w:docPartUnique/>
      </w:docPartObj>
    </w:sdtPr>
    <w:sdtEndPr>
      <w:rPr>
        <w:rFonts w:ascii="Times New Roman" w:hAnsi="Times New Roman" w:cs="Times New Roman"/>
        <w:noProof/>
      </w:rPr>
    </w:sdtEndPr>
    <w:sdtContent>
      <w:p w14:paraId="6AF8C30D" w14:textId="026EFC0E" w:rsidR="00835D3D" w:rsidRPr="005D6209" w:rsidRDefault="00835D3D">
        <w:pPr>
          <w:pStyle w:val="Header"/>
          <w:jc w:val="center"/>
          <w:rPr>
            <w:rFonts w:ascii="Times New Roman" w:hAnsi="Times New Roman" w:cs="Times New Roman"/>
          </w:rPr>
        </w:pPr>
        <w:r w:rsidRPr="005D6209">
          <w:rPr>
            <w:rFonts w:ascii="Times New Roman" w:hAnsi="Times New Roman" w:cs="Times New Roman"/>
          </w:rPr>
          <w:fldChar w:fldCharType="begin"/>
        </w:r>
        <w:r w:rsidRPr="005D6209">
          <w:rPr>
            <w:rFonts w:ascii="Times New Roman" w:hAnsi="Times New Roman" w:cs="Times New Roman"/>
          </w:rPr>
          <w:instrText xml:space="preserve"> PAGE   \* MERGEFORMAT </w:instrText>
        </w:r>
        <w:r w:rsidRPr="005D6209">
          <w:rPr>
            <w:rFonts w:ascii="Times New Roman" w:hAnsi="Times New Roman" w:cs="Times New Roman"/>
          </w:rPr>
          <w:fldChar w:fldCharType="separate"/>
        </w:r>
        <w:r w:rsidR="00CB1B91">
          <w:rPr>
            <w:rFonts w:ascii="Times New Roman" w:hAnsi="Times New Roman" w:cs="Times New Roman"/>
            <w:noProof/>
          </w:rPr>
          <w:t>7</w:t>
        </w:r>
        <w:r w:rsidRPr="005D6209">
          <w:rPr>
            <w:rFonts w:ascii="Times New Roman" w:hAnsi="Times New Roman" w:cs="Times New Roman"/>
            <w:noProof/>
          </w:rPr>
          <w:fldChar w:fldCharType="end"/>
        </w:r>
      </w:p>
    </w:sdtContent>
  </w:sdt>
  <w:p w14:paraId="645FA8E1" w14:textId="77777777" w:rsidR="00835D3D" w:rsidRDefault="00835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3F"/>
    <w:rsid w:val="00043EDE"/>
    <w:rsid w:val="000658FF"/>
    <w:rsid w:val="00103D79"/>
    <w:rsid w:val="00135CCE"/>
    <w:rsid w:val="00154BC9"/>
    <w:rsid w:val="00176745"/>
    <w:rsid w:val="001959B3"/>
    <w:rsid w:val="001A3D6C"/>
    <w:rsid w:val="001D64D5"/>
    <w:rsid w:val="001E1A08"/>
    <w:rsid w:val="001E4AF5"/>
    <w:rsid w:val="001E5BE3"/>
    <w:rsid w:val="002270CD"/>
    <w:rsid w:val="00237EC2"/>
    <w:rsid w:val="00241A5A"/>
    <w:rsid w:val="00296FA2"/>
    <w:rsid w:val="002B03B3"/>
    <w:rsid w:val="002B7658"/>
    <w:rsid w:val="002C5675"/>
    <w:rsid w:val="002D4773"/>
    <w:rsid w:val="002D696C"/>
    <w:rsid w:val="002E1D5F"/>
    <w:rsid w:val="00304112"/>
    <w:rsid w:val="003310D3"/>
    <w:rsid w:val="003372C3"/>
    <w:rsid w:val="00356480"/>
    <w:rsid w:val="00377E56"/>
    <w:rsid w:val="003C0A4B"/>
    <w:rsid w:val="003E5C5B"/>
    <w:rsid w:val="0043565D"/>
    <w:rsid w:val="004716A4"/>
    <w:rsid w:val="00472EC3"/>
    <w:rsid w:val="00486954"/>
    <w:rsid w:val="0051201F"/>
    <w:rsid w:val="00543E67"/>
    <w:rsid w:val="00551940"/>
    <w:rsid w:val="00553B56"/>
    <w:rsid w:val="00595A70"/>
    <w:rsid w:val="005D6209"/>
    <w:rsid w:val="005F2365"/>
    <w:rsid w:val="00621D80"/>
    <w:rsid w:val="00646B23"/>
    <w:rsid w:val="006D6C36"/>
    <w:rsid w:val="006E466A"/>
    <w:rsid w:val="0073023C"/>
    <w:rsid w:val="00734A1A"/>
    <w:rsid w:val="00783CA6"/>
    <w:rsid w:val="00784A4A"/>
    <w:rsid w:val="00793506"/>
    <w:rsid w:val="007A28AE"/>
    <w:rsid w:val="007F0122"/>
    <w:rsid w:val="00802E3F"/>
    <w:rsid w:val="00835D3D"/>
    <w:rsid w:val="00945372"/>
    <w:rsid w:val="009567E7"/>
    <w:rsid w:val="009863E5"/>
    <w:rsid w:val="0098664F"/>
    <w:rsid w:val="009D17B4"/>
    <w:rsid w:val="009D5785"/>
    <w:rsid w:val="00A33B57"/>
    <w:rsid w:val="00A63FB7"/>
    <w:rsid w:val="00AB051B"/>
    <w:rsid w:val="00AE1307"/>
    <w:rsid w:val="00AF7A4D"/>
    <w:rsid w:val="00B46A21"/>
    <w:rsid w:val="00BD4C25"/>
    <w:rsid w:val="00C0327C"/>
    <w:rsid w:val="00C1450B"/>
    <w:rsid w:val="00C1691E"/>
    <w:rsid w:val="00C17CB1"/>
    <w:rsid w:val="00C337FE"/>
    <w:rsid w:val="00C4445E"/>
    <w:rsid w:val="00C97BF4"/>
    <w:rsid w:val="00CB1B91"/>
    <w:rsid w:val="00CE4A07"/>
    <w:rsid w:val="00D01119"/>
    <w:rsid w:val="00D7623B"/>
    <w:rsid w:val="00DC553C"/>
    <w:rsid w:val="00DC6872"/>
    <w:rsid w:val="00DF3254"/>
    <w:rsid w:val="00E17410"/>
    <w:rsid w:val="00E5292D"/>
    <w:rsid w:val="00EA333F"/>
    <w:rsid w:val="00EA4103"/>
    <w:rsid w:val="00EB2FA8"/>
    <w:rsid w:val="00F4453F"/>
    <w:rsid w:val="00F55325"/>
    <w:rsid w:val="00F60A0D"/>
    <w:rsid w:val="00F775C8"/>
    <w:rsid w:val="00F8316C"/>
    <w:rsid w:val="00FB5910"/>
    <w:rsid w:val="00FE3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22DE"/>
  <w15:chartTrackingRefBased/>
  <w15:docId w15:val="{39AF642F-7456-4410-903C-806AD598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2E3F"/>
    <w:pPr>
      <w:keepNext/>
      <w:keepLines/>
      <w:spacing w:before="240" w:after="0" w:line="240" w:lineRule="auto"/>
      <w:outlineLvl w:val="0"/>
    </w:pPr>
    <w:rPr>
      <w:rFonts w:ascii="Cambria" w:eastAsia="Cambria" w:hAnsi="Cambria" w:cs="Cambria"/>
      <w:color w:val="366091"/>
      <w:sz w:val="32"/>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2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2E3F"/>
    <w:rPr>
      <w:rFonts w:ascii="Cambria" w:eastAsia="Cambria" w:hAnsi="Cambria" w:cs="Cambria"/>
      <w:color w:val="366091"/>
      <w:sz w:val="32"/>
      <w:szCs w:val="32"/>
      <w:lang w:val="vi"/>
    </w:rPr>
  </w:style>
  <w:style w:type="paragraph" w:styleId="Header">
    <w:name w:val="header"/>
    <w:basedOn w:val="Normal"/>
    <w:link w:val="HeaderChar"/>
    <w:uiPriority w:val="99"/>
    <w:unhideWhenUsed/>
    <w:rsid w:val="005D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209"/>
  </w:style>
  <w:style w:type="paragraph" w:styleId="Footer">
    <w:name w:val="footer"/>
    <w:basedOn w:val="Normal"/>
    <w:link w:val="FooterChar"/>
    <w:uiPriority w:val="99"/>
    <w:unhideWhenUsed/>
    <w:rsid w:val="005D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 4</dc:creator>
  <cp:keywords/>
  <dc:description/>
  <cp:lastModifiedBy>NEW</cp:lastModifiedBy>
  <cp:revision>2</cp:revision>
  <cp:lastPrinted>2026-05-12T02:14:00Z</cp:lastPrinted>
  <dcterms:created xsi:type="dcterms:W3CDTF">2026-05-13T03:23:00Z</dcterms:created>
  <dcterms:modified xsi:type="dcterms:W3CDTF">2026-05-13T03:23:00Z</dcterms:modified>
</cp:coreProperties>
</file>